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15A" w:rsidRPr="00D6415A" w:rsidRDefault="00D6415A" w:rsidP="00D6415A">
      <w:pPr>
        <w:jc w:val="both"/>
        <w:rPr>
          <w:rFonts w:ascii="Times New Roman" w:hAnsi="Times New Roman" w:cs="Times New Roman"/>
          <w:sz w:val="28"/>
          <w:szCs w:val="28"/>
          <w:lang w:val="fr-FR"/>
        </w:rPr>
      </w:pPr>
      <w:r>
        <w:rPr>
          <w:rFonts w:ascii="Times New Roman" w:hAnsi="Times New Roman" w:cs="Times New Roman"/>
          <w:b/>
          <w:sz w:val="28"/>
          <w:szCs w:val="28"/>
          <w:lang w:val="fr-FR"/>
        </w:rPr>
        <w:t xml:space="preserve">1. </w:t>
      </w:r>
      <w:r w:rsidRPr="00D6415A">
        <w:rPr>
          <w:rFonts w:ascii="Times New Roman" w:hAnsi="Times New Roman" w:cs="Times New Roman"/>
          <w:b/>
          <w:sz w:val="28"/>
          <w:szCs w:val="28"/>
          <w:lang w:val="fr-FR"/>
        </w:rPr>
        <w:t>Biographie de Nicolas Gogol</w:t>
      </w:r>
      <w:r w:rsidRPr="00D6415A">
        <w:rPr>
          <w:rFonts w:ascii="Times New Roman" w:hAnsi="Times New Roman" w:cs="Times New Roman"/>
          <w:sz w:val="28"/>
          <w:szCs w:val="28"/>
          <w:lang w:val="fr-FR"/>
        </w:rPr>
        <w:t xml:space="preserve"> </w:t>
      </w:r>
    </w:p>
    <w:p w:rsidR="00D6415A" w:rsidRPr="00D6415A" w:rsidRDefault="00D6415A" w:rsidP="00D6415A">
      <w:pPr>
        <w:jc w:val="both"/>
        <w:rPr>
          <w:rFonts w:ascii="Times New Roman" w:hAnsi="Times New Roman" w:cs="Times New Roman"/>
          <w:sz w:val="28"/>
          <w:szCs w:val="28"/>
          <w:lang w:val="fr-FR"/>
        </w:rPr>
      </w:pPr>
      <w:r w:rsidRPr="00D6415A">
        <w:rPr>
          <w:rFonts w:ascii="Times New Roman" w:hAnsi="Times New Roman" w:cs="Times New Roman"/>
          <w:sz w:val="28"/>
          <w:szCs w:val="28"/>
          <w:lang w:val="fr-FR"/>
        </w:rPr>
        <w:t xml:space="preserve">Nicolas Gogol, russe de nationalité est l’un des écrivains majeurs du 19e siècle. Il est né au cours de l’année 1809 dans la ville de Sarotchintsy. C’est dès son plus jeune âge que Nicolas Gogol s’est mis à écrire, il avait écrit pendant qu’il était encore collégien un certain nombre de pièces de théâtres, des essais, sans pour en autant décider de les publiés ou même de faire de l’écriture sa profession. </w:t>
      </w:r>
    </w:p>
    <w:p w:rsidR="00D6415A" w:rsidRPr="00D6415A" w:rsidRDefault="00D6415A" w:rsidP="00D6415A">
      <w:pPr>
        <w:jc w:val="both"/>
        <w:rPr>
          <w:rFonts w:ascii="Times New Roman" w:hAnsi="Times New Roman" w:cs="Times New Roman"/>
          <w:sz w:val="28"/>
          <w:szCs w:val="28"/>
          <w:lang w:val="fr-FR"/>
        </w:rPr>
      </w:pPr>
      <w:r w:rsidRPr="00D6415A">
        <w:rPr>
          <w:rFonts w:ascii="Times New Roman" w:hAnsi="Times New Roman" w:cs="Times New Roman"/>
          <w:sz w:val="28"/>
          <w:szCs w:val="28"/>
          <w:lang w:val="fr-FR"/>
        </w:rPr>
        <w:t>C’est en effet au cours de l’année 1830 qu’il va faire une première entrée dans la littérature russe. Première entrée, car il publie sous le pseudonyme de V. Avolv un certain nombre d’œuvres littéraires en occurrence de son poème intitulé Hans Küchelgarten. Il ne rencontre pas le succès souhaité. Il va répéter son acte en faisant une autre publication qu’il intitule Soirées à la ferme cette fois-ci pas sous un pseudonyme mais sous le nom d’un paysan qu’il a eu à connaitre au cours d’un court séjour passé à Dikanka du nom de Roudy Panko. A sa grande surprise ce roman va connaitre un meilleur écho que les précédents.</w:t>
      </w:r>
    </w:p>
    <w:p w:rsidR="00D6415A" w:rsidRPr="00D6415A" w:rsidRDefault="00D6415A" w:rsidP="00D6415A">
      <w:pPr>
        <w:jc w:val="both"/>
        <w:rPr>
          <w:rFonts w:ascii="Times New Roman" w:hAnsi="Times New Roman" w:cs="Times New Roman"/>
          <w:sz w:val="28"/>
          <w:szCs w:val="28"/>
          <w:lang w:val="fr-FR"/>
        </w:rPr>
      </w:pPr>
      <w:r w:rsidRPr="00D6415A">
        <w:rPr>
          <w:rFonts w:ascii="Times New Roman" w:hAnsi="Times New Roman" w:cs="Times New Roman"/>
          <w:sz w:val="28"/>
          <w:szCs w:val="28"/>
          <w:lang w:val="fr-FR"/>
        </w:rPr>
        <w:t>Au cours de cette période, après ses publications anonymes, Nicolas Gogol va faire une série de publications et ceci en son propre nom qui seront le déclic de son entrée officielle dans le monde de la littérature russe. Il connaitra avec ces publications du succès. Au nombre de ces publications à succès nous pouvons cités entre autre</w:t>
      </w:r>
      <w:r w:rsidR="00F816C2">
        <w:rPr>
          <w:rFonts w:ascii="Times New Roman" w:hAnsi="Times New Roman" w:cs="Times New Roman"/>
          <w:sz w:val="28"/>
          <w:szCs w:val="28"/>
          <w:lang w:val="fr-FR"/>
        </w:rPr>
        <w:t xml:space="preserve"> son recueil de textes intitulé</w:t>
      </w:r>
      <w:r w:rsidRPr="00D6415A">
        <w:rPr>
          <w:rFonts w:ascii="Times New Roman" w:hAnsi="Times New Roman" w:cs="Times New Roman"/>
          <w:sz w:val="28"/>
          <w:szCs w:val="28"/>
          <w:lang w:val="fr-FR"/>
        </w:rPr>
        <w:t>: Les Soirées du hameau au cours de l’année 1832 et sera publié en deux volumes. Il va alors s’engage</w:t>
      </w:r>
      <w:r w:rsidR="00F816C2">
        <w:rPr>
          <w:rFonts w:ascii="Times New Roman" w:hAnsi="Times New Roman" w:cs="Times New Roman"/>
          <w:sz w:val="28"/>
          <w:szCs w:val="28"/>
          <w:lang w:val="fr-FR"/>
        </w:rPr>
        <w:t>r davantage dans la littérature</w:t>
      </w:r>
      <w:r w:rsidRPr="00D6415A">
        <w:rPr>
          <w:rFonts w:ascii="Times New Roman" w:hAnsi="Times New Roman" w:cs="Times New Roman"/>
          <w:sz w:val="28"/>
          <w:szCs w:val="28"/>
          <w:lang w:val="fr-FR"/>
        </w:rPr>
        <w:t xml:space="preserve">. </w:t>
      </w:r>
    </w:p>
    <w:p w:rsidR="00D6415A" w:rsidRPr="00D6415A" w:rsidRDefault="00D6415A" w:rsidP="00D6415A">
      <w:pPr>
        <w:jc w:val="both"/>
        <w:rPr>
          <w:rFonts w:ascii="Times New Roman" w:hAnsi="Times New Roman" w:cs="Times New Roman"/>
          <w:sz w:val="28"/>
          <w:szCs w:val="28"/>
          <w:lang w:val="fr-FR"/>
        </w:rPr>
      </w:pPr>
      <w:r w:rsidRPr="00D6415A">
        <w:rPr>
          <w:rFonts w:ascii="Times New Roman" w:hAnsi="Times New Roman" w:cs="Times New Roman"/>
          <w:sz w:val="28"/>
          <w:szCs w:val="28"/>
          <w:lang w:val="fr-FR"/>
        </w:rPr>
        <w:t>C’est ainsi qu’il publie au cours de l’année 1842 Les Âmes mortes, un roman qui est une satire du peuple russe et de ses dirigeants. Le roman connait un succès que Nicolas Gogol lui-même n’avait à aucun moment espéré. Il faut noter que la seconde partie du ro</w:t>
      </w:r>
      <w:r w:rsidR="00F816C2">
        <w:rPr>
          <w:rFonts w:ascii="Times New Roman" w:hAnsi="Times New Roman" w:cs="Times New Roman"/>
          <w:sz w:val="28"/>
          <w:szCs w:val="28"/>
          <w:lang w:val="fr-FR"/>
        </w:rPr>
        <w:t>man a été publiée après sa mort</w:t>
      </w:r>
      <w:r w:rsidRPr="00D6415A">
        <w:rPr>
          <w:rFonts w:ascii="Times New Roman" w:hAnsi="Times New Roman" w:cs="Times New Roman"/>
          <w:sz w:val="28"/>
          <w:szCs w:val="28"/>
          <w:lang w:val="fr-FR"/>
        </w:rPr>
        <w:t xml:space="preserve">; afin de lui rendre un hommage posthume. Ce roman est devenu son œuvre majeure et va lui permettre même après sa mort de se faire classer au rang des auteurs classiques russes. Ses romans, en particuliers ses meilleurs vont faire objet de rééditions et de publications jusqu’à nos jours. Il faut aussi noter qu’il s’est fait aussi connaitre à travers d’autres ouvrages tels que ses Nouvelles de Petersburg. Plusieurs de ses œuvres seront traduites et publiées en français et dans bien d’autres langues. Il est important de souligner que Nicolas Gogol a eu à influencé de façon très positive la littérature russe et ukrainienne. Il a été une source d’inspiration pour plusieurs de ses contemporains russes comme non russes et aussi certainement de nos jours. Il a parcouru le monde de la littérature en touchant à presque tout. </w:t>
      </w:r>
    </w:p>
    <w:p w:rsidR="00D6415A" w:rsidRDefault="00D6415A" w:rsidP="00D6415A">
      <w:pPr>
        <w:jc w:val="both"/>
        <w:rPr>
          <w:rFonts w:ascii="Times New Roman" w:hAnsi="Times New Roman" w:cs="Times New Roman"/>
          <w:sz w:val="28"/>
          <w:szCs w:val="28"/>
          <w:lang w:val="fr-FR"/>
        </w:rPr>
      </w:pPr>
      <w:r w:rsidRPr="00D6415A">
        <w:rPr>
          <w:rFonts w:ascii="Times New Roman" w:hAnsi="Times New Roman" w:cs="Times New Roman"/>
          <w:sz w:val="28"/>
          <w:szCs w:val="28"/>
          <w:lang w:val="fr-FR"/>
        </w:rPr>
        <w:t>En effet Nicolas Gogol a é</w:t>
      </w:r>
      <w:r w:rsidR="00F816C2">
        <w:rPr>
          <w:rFonts w:ascii="Times New Roman" w:hAnsi="Times New Roman" w:cs="Times New Roman"/>
          <w:sz w:val="28"/>
          <w:szCs w:val="28"/>
          <w:lang w:val="fr-FR"/>
        </w:rPr>
        <w:t>té aussi un amoureux du théâtre</w:t>
      </w:r>
      <w:r w:rsidRPr="00D6415A">
        <w:rPr>
          <w:rFonts w:ascii="Times New Roman" w:hAnsi="Times New Roman" w:cs="Times New Roman"/>
          <w:sz w:val="28"/>
          <w:szCs w:val="28"/>
          <w:lang w:val="fr-FR"/>
        </w:rPr>
        <w:t>; il a écrit au cours de sa carrière d’écrivain, écris un certain nombre de pièces de theatres. Au nom</w:t>
      </w:r>
      <w:r w:rsidR="00F816C2">
        <w:rPr>
          <w:rFonts w:ascii="Times New Roman" w:hAnsi="Times New Roman" w:cs="Times New Roman"/>
          <w:sz w:val="28"/>
          <w:szCs w:val="28"/>
          <w:lang w:val="fr-FR"/>
        </w:rPr>
        <w:t xml:space="preserve">bre des </w:t>
      </w:r>
      <w:r w:rsidR="00F816C2">
        <w:rPr>
          <w:rFonts w:ascii="Times New Roman" w:hAnsi="Times New Roman" w:cs="Times New Roman"/>
          <w:sz w:val="28"/>
          <w:szCs w:val="28"/>
          <w:lang w:val="fr-FR"/>
        </w:rPr>
        <w:lastRenderedPageBreak/>
        <w:t>quels on peut citer</w:t>
      </w:r>
      <w:r w:rsidRPr="00D6415A">
        <w:rPr>
          <w:rFonts w:ascii="Times New Roman" w:hAnsi="Times New Roman" w:cs="Times New Roman"/>
          <w:sz w:val="28"/>
          <w:szCs w:val="28"/>
          <w:lang w:val="fr-FR"/>
        </w:rPr>
        <w:t>: «</w:t>
      </w:r>
      <w:r w:rsidR="00F816C2">
        <w:rPr>
          <w:rFonts w:ascii="Times New Roman" w:hAnsi="Times New Roman" w:cs="Times New Roman"/>
          <w:sz w:val="28"/>
          <w:szCs w:val="28"/>
          <w:lang w:val="fr-FR"/>
        </w:rPr>
        <w:t>La Matinée d'un homme d'action»</w:t>
      </w:r>
      <w:r w:rsidRPr="00D6415A">
        <w:rPr>
          <w:rFonts w:ascii="Times New Roman" w:hAnsi="Times New Roman" w:cs="Times New Roman"/>
          <w:sz w:val="28"/>
          <w:szCs w:val="28"/>
          <w:lang w:val="fr-FR"/>
        </w:rPr>
        <w:t xml:space="preserve">; «Les Épousailles ou Hyménée» </w:t>
      </w:r>
      <w:r w:rsidR="00F816C2">
        <w:rPr>
          <w:rFonts w:ascii="Times New Roman" w:hAnsi="Times New Roman" w:cs="Times New Roman"/>
          <w:sz w:val="28"/>
          <w:szCs w:val="28"/>
          <w:lang w:val="fr-FR"/>
        </w:rPr>
        <w:t>sortie au cours de l’année 1835</w:t>
      </w:r>
      <w:r w:rsidRPr="00D6415A">
        <w:rPr>
          <w:rFonts w:ascii="Times New Roman" w:hAnsi="Times New Roman" w:cs="Times New Roman"/>
          <w:sz w:val="28"/>
          <w:szCs w:val="28"/>
          <w:lang w:val="fr-FR"/>
        </w:rPr>
        <w:t>; au cours de l’année 1836 il sort « Les Joueurs » et peu de temps après il sort avec grand succès «Le Revizor».</w:t>
      </w:r>
    </w:p>
    <w:p w:rsidR="00F816C2" w:rsidRPr="00F816C2" w:rsidRDefault="00F816C2" w:rsidP="00D6415A">
      <w:pPr>
        <w:jc w:val="both"/>
        <w:rPr>
          <w:rFonts w:ascii="Times New Roman" w:hAnsi="Times New Roman" w:cs="Times New Roman"/>
          <w:sz w:val="28"/>
          <w:szCs w:val="28"/>
          <w:lang w:val="fr-FR"/>
        </w:rPr>
      </w:pPr>
    </w:p>
    <w:p w:rsidR="00D6415A" w:rsidRPr="00D6415A" w:rsidRDefault="00D6415A" w:rsidP="00D6415A">
      <w:pPr>
        <w:jc w:val="both"/>
        <w:rPr>
          <w:rFonts w:ascii="Times New Roman" w:hAnsi="Times New Roman" w:cs="Times New Roman"/>
          <w:b/>
          <w:sz w:val="28"/>
          <w:szCs w:val="28"/>
          <w:lang w:val="fr-FR"/>
        </w:rPr>
      </w:pPr>
      <w:r>
        <w:rPr>
          <w:rFonts w:ascii="Times New Roman" w:hAnsi="Times New Roman" w:cs="Times New Roman"/>
          <w:b/>
          <w:sz w:val="28"/>
          <w:szCs w:val="28"/>
          <w:lang w:val="fr-FR"/>
        </w:rPr>
        <w:t xml:space="preserve">2. </w:t>
      </w:r>
      <w:r w:rsidRPr="00D6415A">
        <w:rPr>
          <w:rFonts w:ascii="Times New Roman" w:hAnsi="Times New Roman" w:cs="Times New Roman"/>
          <w:b/>
          <w:sz w:val="28"/>
          <w:szCs w:val="28"/>
          <w:lang w:val="fr-FR"/>
        </w:rPr>
        <w:t>Les activités lors des voyages</w:t>
      </w:r>
      <w:r w:rsidR="002B7710">
        <w:rPr>
          <w:rFonts w:ascii="Times New Roman" w:hAnsi="Times New Roman" w:cs="Times New Roman"/>
          <w:b/>
          <w:sz w:val="28"/>
          <w:szCs w:val="28"/>
          <w:lang w:val="fr-FR"/>
        </w:rPr>
        <w:t xml:space="preserve"> en France</w:t>
      </w:r>
    </w:p>
    <w:p w:rsidR="00D6415A" w:rsidRPr="00D6415A" w:rsidRDefault="00D6415A" w:rsidP="00F816C2">
      <w:pPr>
        <w:ind w:firstLine="709"/>
        <w:jc w:val="both"/>
        <w:rPr>
          <w:rFonts w:ascii="Times New Roman" w:hAnsi="Times New Roman" w:cs="Times New Roman"/>
          <w:i/>
          <w:sz w:val="28"/>
          <w:szCs w:val="28"/>
          <w:lang w:val="fr-FR"/>
        </w:rPr>
      </w:pPr>
      <w:r w:rsidRPr="00D6415A">
        <w:rPr>
          <w:rFonts w:ascii="Times New Roman" w:hAnsi="Times New Roman" w:cs="Times New Roman"/>
          <w:i/>
          <w:sz w:val="28"/>
          <w:szCs w:val="28"/>
          <w:lang w:val="fr-FR"/>
        </w:rPr>
        <w:t>La lecture</w:t>
      </w:r>
    </w:p>
    <w:p w:rsidR="00D6415A" w:rsidRPr="00D6415A" w:rsidRDefault="00D6415A" w:rsidP="00D6415A">
      <w:pPr>
        <w:ind w:firstLine="708"/>
        <w:jc w:val="both"/>
        <w:rPr>
          <w:rFonts w:ascii="Times New Roman" w:hAnsi="Times New Roman" w:cs="Times New Roman"/>
          <w:sz w:val="28"/>
          <w:szCs w:val="28"/>
          <w:lang w:val="fr-FR"/>
        </w:rPr>
      </w:pPr>
      <w:r w:rsidRPr="00D6415A">
        <w:rPr>
          <w:rFonts w:ascii="Times New Roman" w:hAnsi="Times New Roman" w:cs="Times New Roman"/>
          <w:sz w:val="28"/>
          <w:szCs w:val="28"/>
          <w:lang w:val="fr-FR"/>
        </w:rPr>
        <w:t>Pour ranger les livres lors des déplacements et voyages, des armoires et bibliothèques portables sont installées dans les voitures. Plusieurs types de lectur</w:t>
      </w:r>
      <w:r w:rsidR="00F816C2">
        <w:rPr>
          <w:rFonts w:ascii="Times New Roman" w:hAnsi="Times New Roman" w:cs="Times New Roman"/>
          <w:sz w:val="28"/>
          <w:szCs w:val="28"/>
          <w:lang w:val="fr-FR"/>
        </w:rPr>
        <w:t>e se développent au XIXe siècle</w:t>
      </w:r>
      <w:r w:rsidRPr="00D6415A">
        <w:rPr>
          <w:rFonts w:ascii="Times New Roman" w:hAnsi="Times New Roman" w:cs="Times New Roman"/>
          <w:sz w:val="28"/>
          <w:szCs w:val="28"/>
          <w:lang w:val="fr-FR"/>
        </w:rPr>
        <w:t>: les guides d’itinéraires, les romans, la presse et la littérature enfantine.</w:t>
      </w:r>
    </w:p>
    <w:p w:rsidR="00D6415A" w:rsidRPr="00D6415A" w:rsidRDefault="00D6415A" w:rsidP="00F97EA0">
      <w:pPr>
        <w:ind w:firstLine="709"/>
        <w:jc w:val="both"/>
        <w:rPr>
          <w:rFonts w:ascii="Times New Roman" w:hAnsi="Times New Roman" w:cs="Times New Roman"/>
          <w:i/>
          <w:sz w:val="28"/>
          <w:szCs w:val="28"/>
          <w:lang w:val="fr-FR"/>
        </w:rPr>
      </w:pPr>
      <w:r w:rsidRPr="00D6415A">
        <w:rPr>
          <w:rFonts w:ascii="Times New Roman" w:hAnsi="Times New Roman" w:cs="Times New Roman"/>
          <w:i/>
          <w:sz w:val="28"/>
          <w:szCs w:val="28"/>
          <w:lang w:val="fr-FR"/>
        </w:rPr>
        <w:t>Les guides d’itinéraires</w:t>
      </w:r>
    </w:p>
    <w:p w:rsidR="00D6415A" w:rsidRPr="00D6415A" w:rsidRDefault="00D6415A" w:rsidP="00D6415A">
      <w:pPr>
        <w:ind w:firstLine="708"/>
        <w:jc w:val="both"/>
        <w:rPr>
          <w:rFonts w:ascii="Times New Roman" w:hAnsi="Times New Roman" w:cs="Times New Roman"/>
          <w:sz w:val="28"/>
          <w:szCs w:val="28"/>
          <w:lang w:val="fr-FR"/>
        </w:rPr>
      </w:pPr>
      <w:r w:rsidRPr="00D6415A">
        <w:rPr>
          <w:rFonts w:ascii="Times New Roman" w:hAnsi="Times New Roman" w:cs="Times New Roman"/>
          <w:sz w:val="28"/>
          <w:szCs w:val="28"/>
          <w:lang w:val="fr-FR"/>
        </w:rPr>
        <w:t>Ancêtres des guides bleus créés en 1919, les guides Joanne, du nom de leur éditeur Adolphe Joanne, connaissent un grand succès au XIXe siècle. Plusieurs collections guident les voyageurs sur les routes de France et des pays étrangers. Les guides-itinéraires apparus vers 1860, suite au développement des chemins de fer, se caractérisent par leur couverture en percaline bleu nuit et leur lettrage doré. À travers 19 tomes, ils décrivent les curiosités touristiques, les lieux naturels remarquables et les activités artisanales, industrielles et commerciales des régions de France. Certains tomes correspondent à des monographies de stations balnéaires et thermales, lieux de tourisme en vogue au XIXe siècle.</w:t>
      </w:r>
    </w:p>
    <w:p w:rsidR="00D6415A" w:rsidRPr="00D6415A" w:rsidRDefault="00D6415A" w:rsidP="00D6415A">
      <w:pPr>
        <w:ind w:firstLine="708"/>
        <w:jc w:val="both"/>
        <w:rPr>
          <w:rFonts w:ascii="Times New Roman" w:hAnsi="Times New Roman" w:cs="Times New Roman"/>
          <w:sz w:val="28"/>
          <w:szCs w:val="28"/>
          <w:lang w:val="fr-FR"/>
        </w:rPr>
      </w:pPr>
      <w:r w:rsidRPr="00D6415A">
        <w:rPr>
          <w:rFonts w:ascii="Times New Roman" w:hAnsi="Times New Roman" w:cs="Times New Roman"/>
          <w:sz w:val="28"/>
          <w:szCs w:val="28"/>
          <w:lang w:val="fr-FR"/>
        </w:rPr>
        <w:t>La collection des guides Diamant de couleur bleu nuit s’attache à la description de pays étrangers européens. Elle est déclinée en petit format de couleur vert émeraude à partir de 1866.</w:t>
      </w:r>
      <w:r>
        <w:rPr>
          <w:rFonts w:ascii="Times New Roman" w:hAnsi="Times New Roman" w:cs="Times New Roman"/>
          <w:sz w:val="28"/>
          <w:szCs w:val="28"/>
          <w:lang w:val="fr-FR"/>
        </w:rPr>
        <w:t xml:space="preserve"> </w:t>
      </w:r>
      <w:r w:rsidRPr="00D6415A">
        <w:rPr>
          <w:rFonts w:ascii="Times New Roman" w:hAnsi="Times New Roman" w:cs="Times New Roman"/>
          <w:sz w:val="28"/>
          <w:szCs w:val="28"/>
          <w:lang w:val="fr-FR"/>
        </w:rPr>
        <w:t>D’autres éditeurs se lancent dans la production d’ouvrage de voyage. Les livres de poche proposant des itinéraires de promenades se multiplient.</w:t>
      </w:r>
    </w:p>
    <w:p w:rsidR="00D6415A" w:rsidRPr="00D6415A" w:rsidRDefault="00D6415A" w:rsidP="00F816C2">
      <w:pPr>
        <w:ind w:firstLine="709"/>
        <w:jc w:val="both"/>
        <w:rPr>
          <w:rFonts w:ascii="Times New Roman" w:hAnsi="Times New Roman" w:cs="Times New Roman"/>
          <w:i/>
          <w:sz w:val="28"/>
          <w:szCs w:val="28"/>
          <w:lang w:val="fr-FR"/>
        </w:rPr>
      </w:pPr>
      <w:r w:rsidRPr="00D6415A">
        <w:rPr>
          <w:rFonts w:ascii="Times New Roman" w:hAnsi="Times New Roman" w:cs="Times New Roman"/>
          <w:i/>
          <w:sz w:val="28"/>
          <w:szCs w:val="28"/>
          <w:lang w:val="fr-FR"/>
        </w:rPr>
        <w:t>Le roman</w:t>
      </w:r>
    </w:p>
    <w:p w:rsidR="00D6415A" w:rsidRPr="00D6415A" w:rsidRDefault="00D6415A" w:rsidP="00D6415A">
      <w:pPr>
        <w:ind w:firstLine="708"/>
        <w:jc w:val="both"/>
        <w:rPr>
          <w:rFonts w:ascii="Times New Roman" w:hAnsi="Times New Roman" w:cs="Times New Roman"/>
          <w:sz w:val="28"/>
          <w:szCs w:val="28"/>
          <w:lang w:val="fr-FR"/>
        </w:rPr>
      </w:pPr>
      <w:r w:rsidRPr="00D6415A">
        <w:rPr>
          <w:rFonts w:ascii="Times New Roman" w:hAnsi="Times New Roman" w:cs="Times New Roman"/>
          <w:sz w:val="28"/>
          <w:szCs w:val="28"/>
          <w:lang w:val="fr-FR"/>
        </w:rPr>
        <w:t>Le XIXe siècle est le siècle du roman. Au roman d’aventure (Gustave Aimard, Gabriel Ferry, Louis Noir) et au roman sentimental (Charles Mérouvel</w:t>
      </w:r>
      <w:r w:rsidR="00F816C2">
        <w:rPr>
          <w:rFonts w:ascii="Times New Roman" w:hAnsi="Times New Roman" w:cs="Times New Roman"/>
          <w:sz w:val="28"/>
          <w:szCs w:val="28"/>
          <w:lang w:val="fr-FR"/>
        </w:rPr>
        <w:t>), se mêlent de nouveaux genres</w:t>
      </w:r>
      <w:r w:rsidRPr="00D6415A">
        <w:rPr>
          <w:rFonts w:ascii="Times New Roman" w:hAnsi="Times New Roman" w:cs="Times New Roman"/>
          <w:sz w:val="28"/>
          <w:szCs w:val="28"/>
          <w:lang w:val="fr-FR"/>
        </w:rPr>
        <w:t>: historique (Walter Scott, Victor Hugo, Alexandre Dumas), réaliste lorsqu’il décrit les mœurs et la société d’une époque (Balzac), psychologique lorsqu’il s’attache à retranscrire les sentiments et pensées de l’auteur ou de son personnage (Chateaubriand, Stendhal), ou naturaliste (Zola, Jules et Edmond Goncourt).</w:t>
      </w:r>
    </w:p>
    <w:p w:rsidR="00F816C2" w:rsidRDefault="00F816C2" w:rsidP="00D6415A">
      <w:pPr>
        <w:jc w:val="both"/>
        <w:rPr>
          <w:rFonts w:ascii="Times New Roman" w:hAnsi="Times New Roman" w:cs="Times New Roman"/>
          <w:i/>
          <w:sz w:val="28"/>
          <w:szCs w:val="28"/>
          <w:lang w:val="fr-FR"/>
        </w:rPr>
      </w:pPr>
    </w:p>
    <w:p w:rsidR="00D6415A" w:rsidRPr="00D6415A" w:rsidRDefault="00D6415A" w:rsidP="00F816C2">
      <w:pPr>
        <w:ind w:firstLine="709"/>
        <w:jc w:val="both"/>
        <w:rPr>
          <w:rFonts w:ascii="Times New Roman" w:hAnsi="Times New Roman" w:cs="Times New Roman"/>
          <w:i/>
          <w:sz w:val="28"/>
          <w:szCs w:val="28"/>
          <w:lang w:val="fr-FR"/>
        </w:rPr>
      </w:pPr>
      <w:r w:rsidRPr="00D6415A">
        <w:rPr>
          <w:rFonts w:ascii="Times New Roman" w:hAnsi="Times New Roman" w:cs="Times New Roman"/>
          <w:i/>
          <w:sz w:val="28"/>
          <w:szCs w:val="28"/>
          <w:lang w:val="fr-FR"/>
        </w:rPr>
        <w:lastRenderedPageBreak/>
        <w:t>La presse</w:t>
      </w:r>
    </w:p>
    <w:p w:rsidR="00D6415A" w:rsidRPr="00D6415A" w:rsidRDefault="00D6415A" w:rsidP="00D6415A">
      <w:pPr>
        <w:ind w:firstLine="708"/>
        <w:jc w:val="both"/>
        <w:rPr>
          <w:rFonts w:ascii="Times New Roman" w:hAnsi="Times New Roman" w:cs="Times New Roman"/>
          <w:sz w:val="28"/>
          <w:szCs w:val="28"/>
          <w:lang w:val="fr-FR"/>
        </w:rPr>
      </w:pPr>
      <w:r w:rsidRPr="00D6415A">
        <w:rPr>
          <w:rFonts w:ascii="Times New Roman" w:hAnsi="Times New Roman" w:cs="Times New Roman"/>
          <w:sz w:val="28"/>
          <w:szCs w:val="28"/>
          <w:lang w:val="fr-FR"/>
        </w:rPr>
        <w:t xml:space="preserve">Lire la presse est une activité qui symbolise le rang social des hommes. L’élite doit être tenue informée des événements en cours dans la </w:t>
      </w:r>
      <w:r w:rsidR="00F816C2">
        <w:rPr>
          <w:rFonts w:ascii="Times New Roman" w:hAnsi="Times New Roman" w:cs="Times New Roman"/>
          <w:sz w:val="28"/>
          <w:szCs w:val="28"/>
          <w:lang w:val="fr-FR"/>
        </w:rPr>
        <w:t>société française et européenne</w:t>
      </w:r>
      <w:r w:rsidRPr="00D6415A">
        <w:rPr>
          <w:rFonts w:ascii="Times New Roman" w:hAnsi="Times New Roman" w:cs="Times New Roman"/>
          <w:sz w:val="28"/>
          <w:szCs w:val="28"/>
          <w:lang w:val="fr-FR"/>
        </w:rPr>
        <w:t>: faits divers, commerciaux, politiques, etc.</w:t>
      </w:r>
    </w:p>
    <w:p w:rsidR="00D6415A" w:rsidRPr="00D6415A" w:rsidRDefault="00D6415A" w:rsidP="00D6415A">
      <w:pPr>
        <w:ind w:firstLine="708"/>
        <w:jc w:val="both"/>
        <w:rPr>
          <w:rFonts w:ascii="Times New Roman" w:hAnsi="Times New Roman" w:cs="Times New Roman"/>
          <w:sz w:val="28"/>
          <w:szCs w:val="28"/>
          <w:lang w:val="fr-FR"/>
        </w:rPr>
      </w:pPr>
      <w:r w:rsidRPr="00D6415A">
        <w:rPr>
          <w:rFonts w:ascii="Times New Roman" w:hAnsi="Times New Roman" w:cs="Times New Roman"/>
          <w:sz w:val="28"/>
          <w:szCs w:val="28"/>
          <w:lang w:val="fr-FR"/>
        </w:rPr>
        <w:t>Les éditeurs de journaux profitent également de l’essor du roman en publiant, avant, pendant ou après l’édition originale, des feuilletons-romans ou romans</w:t>
      </w:r>
      <w:r w:rsidR="002B7710">
        <w:rPr>
          <w:rFonts w:ascii="Times New Roman" w:hAnsi="Times New Roman" w:cs="Times New Roman"/>
          <w:sz w:val="28"/>
          <w:szCs w:val="28"/>
          <w:lang w:val="fr-FR"/>
        </w:rPr>
        <w:t xml:space="preserve"> </w:t>
      </w:r>
      <w:r w:rsidRPr="00D6415A">
        <w:rPr>
          <w:rFonts w:ascii="Times New Roman" w:hAnsi="Times New Roman" w:cs="Times New Roman"/>
          <w:sz w:val="28"/>
          <w:szCs w:val="28"/>
          <w:lang w:val="fr-FR"/>
        </w:rPr>
        <w:t>feuilletons, d’inspiration populaire.</w:t>
      </w:r>
    </w:p>
    <w:p w:rsidR="00D6415A" w:rsidRPr="00D6415A" w:rsidRDefault="00D6415A" w:rsidP="00F816C2">
      <w:pPr>
        <w:ind w:firstLine="709"/>
        <w:jc w:val="both"/>
        <w:rPr>
          <w:rFonts w:ascii="Times New Roman" w:hAnsi="Times New Roman" w:cs="Times New Roman"/>
          <w:i/>
          <w:sz w:val="28"/>
          <w:szCs w:val="28"/>
          <w:lang w:val="fr-FR"/>
        </w:rPr>
      </w:pPr>
      <w:r w:rsidRPr="00D6415A">
        <w:rPr>
          <w:rFonts w:ascii="Times New Roman" w:hAnsi="Times New Roman" w:cs="Times New Roman"/>
          <w:i/>
          <w:sz w:val="28"/>
          <w:szCs w:val="28"/>
          <w:lang w:val="fr-FR"/>
        </w:rPr>
        <w:t>La littérature enfantine</w:t>
      </w:r>
    </w:p>
    <w:p w:rsidR="00F816C2" w:rsidRDefault="00D6415A" w:rsidP="00D6415A">
      <w:pPr>
        <w:ind w:firstLine="708"/>
        <w:jc w:val="both"/>
        <w:rPr>
          <w:rFonts w:ascii="Times New Roman" w:hAnsi="Times New Roman" w:cs="Times New Roman"/>
          <w:i/>
          <w:szCs w:val="28"/>
          <w:lang w:val="fr-FR"/>
        </w:rPr>
      </w:pPr>
      <w:r w:rsidRPr="00D6415A">
        <w:rPr>
          <w:rFonts w:ascii="Times New Roman" w:hAnsi="Times New Roman" w:cs="Times New Roman"/>
          <w:sz w:val="28"/>
          <w:szCs w:val="28"/>
          <w:lang w:val="fr-FR"/>
        </w:rPr>
        <w:t>Des romans s’adressent plus particulièrement au jeune public tels que les contes comme Blanche-Neige et les sept nains ou les livres de la Comtesse de Ségur, de</w:t>
      </w:r>
      <w:r w:rsidR="00F816C2">
        <w:rPr>
          <w:rFonts w:ascii="Times New Roman" w:hAnsi="Times New Roman" w:cs="Times New Roman"/>
          <w:sz w:val="28"/>
          <w:szCs w:val="28"/>
          <w:lang w:val="fr-FR"/>
        </w:rPr>
        <w:t xml:space="preserve"> Jules Verne et d’Hector Malot.</w:t>
      </w:r>
    </w:p>
    <w:p w:rsidR="00F816C2" w:rsidRPr="00911E4E" w:rsidRDefault="00911E4E" w:rsidP="00D6415A">
      <w:pPr>
        <w:ind w:firstLine="708"/>
        <w:jc w:val="both"/>
        <w:rPr>
          <w:rFonts w:ascii="Times New Roman" w:hAnsi="Times New Roman" w:cs="Times New Roman"/>
          <w:sz w:val="28"/>
          <w:szCs w:val="28"/>
        </w:rPr>
      </w:pPr>
      <w:hyperlink r:id="rId5" w:history="1">
        <w:r w:rsidRPr="00EB4460">
          <w:rPr>
            <w:rStyle w:val="a3"/>
            <w:rFonts w:ascii="Times New Roman" w:hAnsi="Times New Roman" w:cs="Times New Roman"/>
            <w:sz w:val="28"/>
            <w:szCs w:val="28"/>
            <w:lang w:val="fr-FR"/>
          </w:rPr>
          <w:t>http://projets-educatifs.chateaud</w:t>
        </w:r>
        <w:bookmarkStart w:id="0" w:name="_GoBack"/>
        <w:bookmarkEnd w:id="0"/>
        <w:r w:rsidRPr="00EB4460">
          <w:rPr>
            <w:rStyle w:val="a3"/>
            <w:rFonts w:ascii="Times New Roman" w:hAnsi="Times New Roman" w:cs="Times New Roman"/>
            <w:sz w:val="28"/>
            <w:szCs w:val="28"/>
            <w:lang w:val="fr-FR"/>
          </w:rPr>
          <w:t>e</w:t>
        </w:r>
        <w:r w:rsidRPr="00EB4460">
          <w:rPr>
            <w:rStyle w:val="a3"/>
            <w:rFonts w:ascii="Times New Roman" w:hAnsi="Times New Roman" w:cs="Times New Roman"/>
            <w:sz w:val="28"/>
            <w:szCs w:val="28"/>
            <w:lang w:val="fr-FR"/>
          </w:rPr>
          <w:t>speyran.fr</w:t>
        </w:r>
        <w:r w:rsidRPr="00EB4460">
          <w:rPr>
            <w:rStyle w:val="a3"/>
            <w:rFonts w:ascii="Times New Roman" w:hAnsi="Times New Roman" w:cs="Times New Roman"/>
            <w:sz w:val="28"/>
            <w:szCs w:val="28"/>
            <w:lang w:val="fr-FR"/>
          </w:rPr>
          <w:t>/</w:t>
        </w:r>
        <w:r w:rsidRPr="00EB4460">
          <w:rPr>
            <w:rStyle w:val="a3"/>
            <w:rFonts w:ascii="Times New Roman" w:hAnsi="Times New Roman" w:cs="Times New Roman"/>
            <w:sz w:val="28"/>
            <w:szCs w:val="28"/>
            <w:lang w:val="fr-FR"/>
          </w:rPr>
          <w:t>wp-content/uploads/2012/01/Voyages-et-deplacements-</w:t>
        </w:r>
        <w:r w:rsidRPr="00EB4460">
          <w:rPr>
            <w:rStyle w:val="a3"/>
            <w:rFonts w:ascii="Times New Roman" w:hAnsi="Times New Roman" w:cs="Times New Roman"/>
            <w:sz w:val="28"/>
            <w:szCs w:val="28"/>
            <w:lang w:val="fr-FR"/>
          </w:rPr>
          <w:t>B</w:t>
        </w:r>
        <w:r w:rsidRPr="00EB4460">
          <w:rPr>
            <w:rStyle w:val="a3"/>
            <w:rFonts w:ascii="Times New Roman" w:hAnsi="Times New Roman" w:cs="Times New Roman"/>
            <w:sz w:val="28"/>
            <w:szCs w:val="28"/>
            <w:lang w:val="fr-FR"/>
          </w:rPr>
          <w:t>R.pdf</w:t>
        </w:r>
      </w:hyperlink>
    </w:p>
    <w:p w:rsidR="00911E4E" w:rsidRPr="00F816C2" w:rsidRDefault="00911E4E" w:rsidP="00D6415A">
      <w:pPr>
        <w:ind w:firstLine="708"/>
        <w:jc w:val="both"/>
        <w:rPr>
          <w:rFonts w:ascii="Times New Roman" w:hAnsi="Times New Roman" w:cs="Times New Roman"/>
          <w:sz w:val="28"/>
          <w:szCs w:val="28"/>
          <w:lang w:val="fr-FR"/>
        </w:rPr>
      </w:pPr>
    </w:p>
    <w:p w:rsidR="00D6415A" w:rsidRDefault="00D6415A" w:rsidP="00D6415A">
      <w:pPr>
        <w:jc w:val="both"/>
        <w:rPr>
          <w:rFonts w:ascii="Times New Roman" w:hAnsi="Times New Roman" w:cs="Times New Roman"/>
          <w:sz w:val="28"/>
          <w:szCs w:val="28"/>
          <w:lang w:val="fr-FR"/>
        </w:rPr>
      </w:pPr>
    </w:p>
    <w:p w:rsidR="00D6415A" w:rsidRPr="00D6415A" w:rsidRDefault="00D6415A" w:rsidP="00D6415A">
      <w:pPr>
        <w:jc w:val="both"/>
        <w:rPr>
          <w:rFonts w:ascii="Times New Roman" w:hAnsi="Times New Roman" w:cs="Times New Roman"/>
          <w:sz w:val="28"/>
          <w:szCs w:val="28"/>
          <w:lang w:val="fr-FR"/>
        </w:rPr>
      </w:pPr>
    </w:p>
    <w:sectPr w:rsidR="00D6415A" w:rsidRPr="00D6415A" w:rsidSect="00F816C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508"/>
    <w:rsid w:val="00012508"/>
    <w:rsid w:val="002B7710"/>
    <w:rsid w:val="00911E4E"/>
    <w:rsid w:val="009863C0"/>
    <w:rsid w:val="009F3244"/>
    <w:rsid w:val="00D6415A"/>
    <w:rsid w:val="00E656A5"/>
    <w:rsid w:val="00EB6287"/>
    <w:rsid w:val="00F816C2"/>
    <w:rsid w:val="00F97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0031C2-A000-472E-A498-61E4977F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16C2"/>
    <w:rPr>
      <w:color w:val="0000FF" w:themeColor="hyperlink"/>
      <w:u w:val="single"/>
    </w:rPr>
  </w:style>
  <w:style w:type="character" w:styleId="a4">
    <w:name w:val="FollowedHyperlink"/>
    <w:basedOn w:val="a0"/>
    <w:uiPriority w:val="99"/>
    <w:semiHidden/>
    <w:unhideWhenUsed/>
    <w:rsid w:val="00F816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projets-educatifs.chateaudespeyran.fr/wp-content/uploads/2012/01/Voyages-et-deplacements-BR.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0B3B1-78D9-43C7-8EC3-8F259F75D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870</Words>
  <Characters>4961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И. Чернова</dc:creator>
  <cp:keywords/>
  <dc:description/>
  <cp:lastModifiedBy>Татьяна Федоровна Карповец</cp:lastModifiedBy>
  <cp:revision>8</cp:revision>
  <dcterms:created xsi:type="dcterms:W3CDTF">2018-12-27T13:55:00Z</dcterms:created>
  <dcterms:modified xsi:type="dcterms:W3CDTF">2019-02-01T11:28:00Z</dcterms:modified>
</cp:coreProperties>
</file>